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20B5EDA3" w:rsidR="00F422D3" w:rsidRDefault="00F422D3" w:rsidP="00B42F40">
      <w:pPr>
        <w:pStyle w:val="Titul2"/>
      </w:pPr>
      <w:r>
        <w:t xml:space="preserve">Název zakázky: </w:t>
      </w:r>
      <w:r w:rsidR="00E94A8B" w:rsidRPr="00756406">
        <w:rPr>
          <w:rFonts w:eastAsia="Times New Roman" w:cs="Times New Roman"/>
          <w:lang w:eastAsia="cs-CZ"/>
        </w:rPr>
        <w:t xml:space="preserve">„Modernizace trati Hradec Králové – Pardubice – Chrudim, 2.stavba, </w:t>
      </w:r>
      <w:proofErr w:type="spellStart"/>
      <w:r w:rsidR="00E94A8B" w:rsidRPr="00756406">
        <w:rPr>
          <w:rFonts w:eastAsia="Times New Roman" w:cs="Times New Roman"/>
          <w:lang w:eastAsia="cs-CZ"/>
        </w:rPr>
        <w:t>zdvoukolejnění</w:t>
      </w:r>
      <w:proofErr w:type="spellEnd"/>
      <w:r w:rsidR="00E94A8B" w:rsidRPr="00756406">
        <w:rPr>
          <w:rFonts w:eastAsia="Times New Roman" w:cs="Times New Roman"/>
          <w:lang w:eastAsia="cs-CZ"/>
        </w:rPr>
        <w:t xml:space="preserve"> Opatovice nad Labem-Hradec Králové, 1.etapa ŽST Hradec Králové </w:t>
      </w:r>
      <w:proofErr w:type="spellStart"/>
      <w:r w:rsidR="00E94A8B" w:rsidRPr="00756406">
        <w:rPr>
          <w:rFonts w:eastAsia="Times New Roman" w:cs="Times New Roman"/>
          <w:lang w:eastAsia="cs-CZ"/>
        </w:rPr>
        <w:t>hl.n</w:t>
      </w:r>
      <w:proofErr w:type="spellEnd"/>
      <w:r w:rsidR="00E94A8B" w:rsidRPr="00756406">
        <w:rPr>
          <w:rFonts w:eastAsia="Times New Roman" w:cs="Times New Roman"/>
          <w:lang w:eastAsia="cs-CZ"/>
        </w:rPr>
        <w:t>.“, SO 22-78-06 ŽST Hradec Králové hl. n., demolice objektu skladu p.č.st. 231/1</w:t>
      </w:r>
      <w:r w:rsidR="00E94A8B">
        <w:rPr>
          <w:rFonts w:eastAsia="Times New Roman" w:cs="Times New Roman"/>
          <w:lang w:eastAsia="cs-CZ"/>
        </w:rPr>
        <w:t xml:space="preserve"> -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5C79896D" w:rsidR="00F91101" w:rsidRPr="005C7EED" w:rsidRDefault="00E94A8B" w:rsidP="00F91101">
      <w:pPr>
        <w:spacing w:after="120"/>
        <w:ind w:left="567"/>
        <w:jc w:val="both"/>
        <w:rPr>
          <w:rFonts w:ascii="Verdana" w:hAnsi="Verdana" w:cs="Calibri"/>
        </w:rPr>
      </w:pPr>
      <w:r>
        <w:t>Mgr. Lenka Dieguezová</w:t>
      </w:r>
      <w:r w:rsidR="00F91101" w:rsidRPr="005C7EED">
        <w:rPr>
          <w:rFonts w:ascii="Verdana" w:hAnsi="Verdana" w:cs="Calibri"/>
        </w:rPr>
        <w:t xml:space="preserve">, tel.: </w:t>
      </w:r>
      <w:r>
        <w:t xml:space="preserve">+420 </w:t>
      </w:r>
      <w:r>
        <w:t>724 932 386</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2A5440BC" w:rsidR="00F91101" w:rsidRPr="005C7EED" w:rsidRDefault="00E94A8B" w:rsidP="00F91101">
      <w:pPr>
        <w:spacing w:after="120"/>
        <w:ind w:left="567"/>
        <w:jc w:val="both"/>
        <w:rPr>
          <w:rFonts w:ascii="Verdana" w:hAnsi="Verdana" w:cs="Calibri"/>
        </w:rPr>
      </w:pPr>
      <w:r>
        <w:t>Jitka Hubatková</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+420 722 801 101</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02F76F69" w:rsidR="00F91101" w:rsidRDefault="00E94A8B" w:rsidP="00F91101">
      <w:pPr>
        <w:pStyle w:val="Textbezodsazen"/>
        <w:ind w:left="567"/>
      </w:pPr>
      <w:r>
        <w:t>Radovan Dryml</w:t>
      </w:r>
      <w:r w:rsidR="00F91101" w:rsidRPr="005C7EED">
        <w:rPr>
          <w:rFonts w:ascii="Verdana" w:hAnsi="Verdana" w:cs="Calibri"/>
        </w:rPr>
        <w:t xml:space="preserve">, tel.: </w:t>
      </w:r>
      <w:r>
        <w:t>+420 602 469 218</w:t>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2E78BF70" w:rsidR="00F422D3" w:rsidRDefault="00F422D3" w:rsidP="00B42F40">
      <w:pPr>
        <w:pStyle w:val="Textbezodsazen"/>
      </w:pPr>
      <w:r>
        <w:t xml:space="preserve">ISPROFOND: </w:t>
      </w:r>
      <w:r w:rsidR="00E94A8B">
        <w:t>5003720018</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lastRenderedPageBreak/>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5EB56EB8"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w:t>
      </w:r>
      <w:r w:rsidR="00E94A8B">
        <w:t xml:space="preserve"> </w:t>
      </w:r>
      <w:r w:rsidR="00E94A8B" w:rsidRPr="00756406">
        <w:rPr>
          <w:rFonts w:eastAsia="Times New Roman" w:cs="Times New Roman"/>
          <w:b/>
          <w:lang w:eastAsia="cs-CZ"/>
        </w:rPr>
        <w:t xml:space="preserve">„Modernizace trati Hradec Králové – Pardubice – Chrudim, 2.stavba, </w:t>
      </w:r>
      <w:proofErr w:type="spellStart"/>
      <w:r w:rsidR="00E94A8B" w:rsidRPr="00756406">
        <w:rPr>
          <w:rFonts w:eastAsia="Times New Roman" w:cs="Times New Roman"/>
          <w:b/>
          <w:lang w:eastAsia="cs-CZ"/>
        </w:rPr>
        <w:t>zdvoukolejnění</w:t>
      </w:r>
      <w:proofErr w:type="spellEnd"/>
      <w:r w:rsidR="00E94A8B" w:rsidRPr="00756406">
        <w:rPr>
          <w:rFonts w:eastAsia="Times New Roman" w:cs="Times New Roman"/>
          <w:b/>
          <w:lang w:eastAsia="cs-CZ"/>
        </w:rPr>
        <w:t xml:space="preserve"> Opatovice nad Labem-Hradec Králové, 1.etapa ŽST Hradec Králové </w:t>
      </w:r>
      <w:proofErr w:type="spellStart"/>
      <w:r w:rsidR="00E94A8B" w:rsidRPr="00756406">
        <w:rPr>
          <w:rFonts w:eastAsia="Times New Roman" w:cs="Times New Roman"/>
          <w:b/>
          <w:lang w:eastAsia="cs-CZ"/>
        </w:rPr>
        <w:t>hl.n</w:t>
      </w:r>
      <w:proofErr w:type="spellEnd"/>
      <w:r w:rsidR="00E94A8B" w:rsidRPr="00756406">
        <w:rPr>
          <w:rFonts w:eastAsia="Times New Roman" w:cs="Times New Roman"/>
          <w:b/>
          <w:lang w:eastAsia="cs-CZ"/>
        </w:rPr>
        <w:t>.“, SO 22-78-06 ŽST Hradec Králové hl. n., demolice objektu skladu p.č.st. 231/1</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w:t>
      </w:r>
      <w:r w:rsidRPr="005C7EED">
        <w:rPr>
          <w:rFonts w:ascii="Verdana" w:hAnsi="Verdana" w:cs="Calibri"/>
          <w:color w:val="000000"/>
        </w:rPr>
        <w:lastRenderedPageBreak/>
        <w:t xml:space="preserve">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lastRenderedPageBreak/>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lastRenderedPageBreak/>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w:t>
      </w:r>
      <w:r w:rsidRPr="005C7EED">
        <w:lastRenderedPageBreak/>
        <w:t xml:space="preserve">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239732C9" w14:textId="2F69ACD7" w:rsidR="00BF7940" w:rsidRPr="00E94A8B" w:rsidRDefault="00F91101" w:rsidP="00E94A8B">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 xml:space="preserve">Výše uvedená celková cena je nejvýše přípustná a zahrnuje i veškeré náklady potřebné a související s prováděním činností, jež jsou předmětem této smlouvy. Koordinátor BOZP </w:t>
      </w:r>
      <w:r w:rsidRPr="005C7EED">
        <w:lastRenderedPageBreak/>
        <w:t>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w:t>
      </w:r>
      <w:r w:rsidRPr="005C7EED">
        <w:lastRenderedPageBreak/>
        <w:t xml:space="preserve">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1CB7BAD9" w:rsidR="00F91101" w:rsidRPr="005C7EED" w:rsidRDefault="00F91101" w:rsidP="00F7247A">
      <w:pPr>
        <w:pStyle w:val="Text1-2"/>
        <w:numPr>
          <w:ilvl w:val="2"/>
          <w:numId w:val="8"/>
        </w:numPr>
        <w:tabs>
          <w:tab w:val="clear" w:pos="1474"/>
        </w:tabs>
        <w:ind w:left="737"/>
      </w:pPr>
      <w:r w:rsidRPr="005C7EED">
        <w:t xml:space="preserve">Ukončení výkonu činnosti: </w:t>
      </w:r>
      <w:r w:rsidRPr="00E94A8B">
        <w:t xml:space="preserve">do </w:t>
      </w:r>
      <w:r w:rsidR="00E94A8B" w:rsidRPr="00E94A8B">
        <w:rPr>
          <w:rFonts w:cs="Arial"/>
          <w:b/>
          <w:bCs/>
        </w:rPr>
        <w:t xml:space="preserve">5 </w:t>
      </w:r>
      <w:r w:rsidRPr="00E94A8B">
        <w:rPr>
          <w:b/>
          <w:bCs/>
        </w:rPr>
        <w:t>měsíců</w:t>
      </w:r>
      <w:r w:rsidRPr="00E94A8B">
        <w:t xml:space="preserve"> ode</w:t>
      </w:r>
      <w:r w:rsidRPr="005C7EED">
        <w:t xml:space="preserv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w:t>
      </w:r>
      <w:r w:rsidRPr="000B58CF">
        <w:rPr>
          <w:rFonts w:ascii="Verdana" w:hAnsi="Verdana" w:cs="Verdana"/>
        </w:rPr>
        <w:lastRenderedPageBreak/>
        <w:t xml:space="preserve">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lastRenderedPageBreak/>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 xml:space="preserve">dokumentům a databázím týkajícím se technického a finančního řízení projektu a učinit veškeré kroky </w:t>
      </w:r>
      <w:r w:rsidRPr="005C7EED">
        <w:lastRenderedPageBreak/>
        <w:t>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xml:space="preserve">, ve znění </w:t>
      </w:r>
      <w:r w:rsidRPr="005C7EED">
        <w:rPr>
          <w:rFonts w:ascii="Verdana" w:hAnsi="Verdana"/>
          <w:sz w:val="18"/>
          <w:szCs w:val="18"/>
        </w:rPr>
        <w:lastRenderedPageBreak/>
        <w:t>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5290F510"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4A8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45D"/>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22BB"/>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94A8B"/>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17</Pages>
  <Words>6841</Words>
  <Characters>40368</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2019-03-12T14:16:00Z</cp:lastPrinted>
  <dcterms:created xsi:type="dcterms:W3CDTF">2024-02-07T14:37:00Z</dcterms:created>
  <dcterms:modified xsi:type="dcterms:W3CDTF">2024-10-14T05:47:00Z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